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1144" w:rsidRDefault="00C1660F" w:rsidP="002A4696">
      <w:pPr>
        <w:pStyle w:val="Heading2"/>
      </w:pPr>
      <w:r w:rsidRPr="0095192A">
        <w:t>Ideas for the 2018-2022 Eng</w:t>
      </w:r>
      <w:r w:rsidR="000411BE" w:rsidRPr="0095192A">
        <w:t>ineering &amp; Sustainability Committee</w:t>
      </w:r>
      <w:r w:rsidRPr="0095192A">
        <w:t xml:space="preserve"> Workplan</w:t>
      </w:r>
      <w:bookmarkStart w:id="0" w:name="_GoBack"/>
      <w:bookmarkEnd w:id="0"/>
    </w:p>
    <w:p w:rsidR="008A52B4" w:rsidRPr="008A52B4" w:rsidRDefault="008A52B4" w:rsidP="008A52B4"/>
    <w:p w:rsidR="00C1660F" w:rsidRDefault="00C1660F" w:rsidP="00C1660F">
      <w:pPr>
        <w:pStyle w:val="ListParagraph"/>
        <w:numPr>
          <w:ilvl w:val="0"/>
          <w:numId w:val="2"/>
        </w:numPr>
        <w:rPr>
          <w:lang w:val="en-AU"/>
        </w:rPr>
      </w:pPr>
      <w:r w:rsidRPr="00C1660F">
        <w:rPr>
          <w:lang w:val="en-AU"/>
        </w:rPr>
        <w:t>There  is  a  need  for  IALA  guidance  to  identify  appropriate  standards  for  AtoN  equipment  for  regions around the world in relation to issues such as temperature conditions, en</w:t>
      </w:r>
      <w:r w:rsidR="006F64DA">
        <w:rPr>
          <w:lang w:val="en-AU"/>
        </w:rPr>
        <w:t xml:space="preserve">closure ratings, UV conditions, </w:t>
      </w:r>
      <w:r w:rsidRPr="00C1660F">
        <w:rPr>
          <w:lang w:val="en-AU"/>
        </w:rPr>
        <w:t>peak  intensity  specification  for  LED  AtoN,  batteries,  optic  service  factor,  thermal  cap,  etc.  There</w:t>
      </w:r>
      <w:r w:rsidR="006F64DA" w:rsidRPr="00C1660F">
        <w:rPr>
          <w:lang w:val="en-AU"/>
        </w:rPr>
        <w:t> is</w:t>
      </w:r>
      <w:r w:rsidRPr="00C1660F">
        <w:rPr>
          <w:lang w:val="en-AU"/>
        </w:rPr>
        <w:t xml:space="preserve"> a number of sources of information on worldwide climatic conditions which can be referenced.</w:t>
      </w:r>
    </w:p>
    <w:p w:rsidR="006F64DA" w:rsidRDefault="0095192A" w:rsidP="00882BA5">
      <w:pPr>
        <w:pStyle w:val="ListParagraph"/>
        <w:numPr>
          <w:ilvl w:val="0"/>
          <w:numId w:val="2"/>
        </w:numPr>
        <w:rPr>
          <w:lang w:val="en-AU"/>
        </w:rPr>
      </w:pPr>
      <w:r>
        <w:rPr>
          <w:lang w:val="en-AU"/>
        </w:rPr>
        <w:t>A workshop – Extreme heat</w:t>
      </w:r>
      <w:r w:rsidR="006F64DA">
        <w:rPr>
          <w:lang w:val="en-AU"/>
        </w:rPr>
        <w:t xml:space="preserve">, </w:t>
      </w:r>
      <w:proofErr w:type="gramStart"/>
      <w:r w:rsidR="006F64DA">
        <w:rPr>
          <w:lang w:val="en-AU"/>
        </w:rPr>
        <w:t>transmissivity</w:t>
      </w:r>
      <w:r>
        <w:rPr>
          <w:lang w:val="en-AU"/>
        </w:rPr>
        <w:t xml:space="preserve"> ??</w:t>
      </w:r>
      <w:r w:rsidR="00E35BE7">
        <w:rPr>
          <w:lang w:val="en-AU"/>
        </w:rPr>
        <w:t>.</w:t>
      </w:r>
      <w:proofErr w:type="gramEnd"/>
      <w:r w:rsidR="006F64DA">
        <w:rPr>
          <w:lang w:val="en-AU"/>
        </w:rPr>
        <w:t xml:space="preserve"> </w:t>
      </w:r>
    </w:p>
    <w:p w:rsidR="0095192A" w:rsidRPr="00882BA5" w:rsidRDefault="006F64DA" w:rsidP="00882BA5">
      <w:pPr>
        <w:pStyle w:val="ListParagraph"/>
        <w:numPr>
          <w:ilvl w:val="0"/>
          <w:numId w:val="2"/>
        </w:numPr>
        <w:rPr>
          <w:lang w:val="en-AU"/>
        </w:rPr>
      </w:pPr>
      <w:r>
        <w:rPr>
          <w:lang w:val="en-AU"/>
        </w:rPr>
        <w:t>A workshop - engineering support for e-navigation services, possibly associated with hot climates, radio propagation??</w:t>
      </w:r>
    </w:p>
    <w:p w:rsidR="00C1660F" w:rsidRDefault="00C1660F" w:rsidP="00C1660F">
      <w:pPr>
        <w:pStyle w:val="ListParagraph"/>
        <w:numPr>
          <w:ilvl w:val="0"/>
          <w:numId w:val="2"/>
        </w:numPr>
        <w:rPr>
          <w:lang w:val="en-AU"/>
        </w:rPr>
      </w:pPr>
      <w:r>
        <w:rPr>
          <w:lang w:val="en-AU"/>
        </w:rPr>
        <w:t>Develop guidance on AtoN simulation technology</w:t>
      </w:r>
      <w:r w:rsidR="00E35BE7">
        <w:rPr>
          <w:lang w:val="en-AU"/>
        </w:rPr>
        <w:t>.</w:t>
      </w:r>
    </w:p>
    <w:p w:rsidR="00C1660F" w:rsidRDefault="00C1660F" w:rsidP="00C1660F">
      <w:pPr>
        <w:pStyle w:val="ListParagraph"/>
        <w:numPr>
          <w:ilvl w:val="0"/>
          <w:numId w:val="2"/>
        </w:numPr>
        <w:rPr>
          <w:lang w:val="en-AU"/>
        </w:rPr>
      </w:pPr>
      <w:r>
        <w:rPr>
          <w:lang w:val="en-AU"/>
        </w:rPr>
        <w:t>Buoy Stability testing procedure for use afloat – new guidance or expand existing</w:t>
      </w:r>
      <w:r w:rsidR="00E35BE7">
        <w:rPr>
          <w:lang w:val="en-AU"/>
        </w:rPr>
        <w:t>.</w:t>
      </w:r>
    </w:p>
    <w:p w:rsidR="00E35BE7" w:rsidRPr="00E35BE7" w:rsidRDefault="00C1660F" w:rsidP="00E35BE7">
      <w:pPr>
        <w:pStyle w:val="ListParagraph"/>
        <w:numPr>
          <w:ilvl w:val="0"/>
          <w:numId w:val="2"/>
        </w:numPr>
        <w:rPr>
          <w:lang w:val="en-AU"/>
        </w:rPr>
      </w:pPr>
      <w:r>
        <w:rPr>
          <w:lang w:val="en-AU"/>
        </w:rPr>
        <w:t>Documentation update following Standards agreement</w:t>
      </w:r>
      <w:r w:rsidR="00E35BE7">
        <w:rPr>
          <w:lang w:val="en-AU"/>
        </w:rPr>
        <w:t>:</w:t>
      </w:r>
    </w:p>
    <w:p w:rsidR="0095192A" w:rsidRDefault="0095192A" w:rsidP="0095192A">
      <w:pPr>
        <w:pStyle w:val="ListParagraph"/>
        <w:numPr>
          <w:ilvl w:val="1"/>
          <w:numId w:val="2"/>
        </w:numPr>
        <w:rPr>
          <w:lang w:val="en-AU"/>
        </w:rPr>
      </w:pPr>
      <w:r>
        <w:rPr>
          <w:lang w:val="en-AU"/>
        </w:rPr>
        <w:t>Guidance on Marine Signalling</w:t>
      </w:r>
      <w:r w:rsidR="00E35BE7">
        <w:rPr>
          <w:lang w:val="en-AU"/>
        </w:rPr>
        <w:t>.</w:t>
      </w:r>
    </w:p>
    <w:p w:rsidR="0095192A" w:rsidRDefault="0095192A" w:rsidP="0095192A">
      <w:pPr>
        <w:pStyle w:val="ListParagraph"/>
        <w:numPr>
          <w:ilvl w:val="1"/>
          <w:numId w:val="2"/>
        </w:numPr>
        <w:rPr>
          <w:lang w:val="en-AU"/>
        </w:rPr>
      </w:pPr>
      <w:r>
        <w:rPr>
          <w:lang w:val="en-AU"/>
        </w:rPr>
        <w:t>WG2 guidance to develop?</w:t>
      </w:r>
    </w:p>
    <w:p w:rsidR="003B531A" w:rsidRPr="00E35BE7" w:rsidRDefault="003B531A" w:rsidP="0095192A">
      <w:pPr>
        <w:pStyle w:val="ListParagraph"/>
        <w:numPr>
          <w:ilvl w:val="1"/>
          <w:numId w:val="2"/>
        </w:numPr>
        <w:rPr>
          <w:lang w:val="fr-FR"/>
        </w:rPr>
      </w:pPr>
      <w:r w:rsidRPr="00E35BE7">
        <w:rPr>
          <w:lang w:val="fr-FR"/>
        </w:rPr>
        <w:t xml:space="preserve">Update E-111 Port </w:t>
      </w:r>
      <w:proofErr w:type="spellStart"/>
      <w:r w:rsidRPr="00E35BE7">
        <w:rPr>
          <w:lang w:val="fr-FR"/>
        </w:rPr>
        <w:t>Traffic</w:t>
      </w:r>
      <w:proofErr w:type="spellEnd"/>
      <w:r w:rsidRPr="00E35BE7">
        <w:rPr>
          <w:lang w:val="fr-FR"/>
        </w:rPr>
        <w:t xml:space="preserve"> </w:t>
      </w:r>
      <w:proofErr w:type="spellStart"/>
      <w:r w:rsidRPr="00E35BE7">
        <w:rPr>
          <w:lang w:val="fr-FR"/>
        </w:rPr>
        <w:t>Signals</w:t>
      </w:r>
      <w:proofErr w:type="spellEnd"/>
      <w:r w:rsidR="00E35BE7" w:rsidRPr="00E35BE7">
        <w:rPr>
          <w:lang w:val="fr-FR"/>
        </w:rPr>
        <w:t>.</w:t>
      </w:r>
    </w:p>
    <w:p w:rsidR="003B531A" w:rsidRDefault="003B531A" w:rsidP="0095192A">
      <w:pPr>
        <w:pStyle w:val="ListParagraph"/>
        <w:numPr>
          <w:ilvl w:val="1"/>
          <w:numId w:val="2"/>
        </w:numPr>
        <w:rPr>
          <w:lang w:val="en-AU"/>
        </w:rPr>
      </w:pPr>
      <w:r>
        <w:rPr>
          <w:lang w:val="en-AU"/>
        </w:rPr>
        <w:t>Update E-112 Leading Lights</w:t>
      </w:r>
      <w:r w:rsidR="00E35BE7">
        <w:rPr>
          <w:lang w:val="en-AU"/>
        </w:rPr>
        <w:t>.</w:t>
      </w:r>
    </w:p>
    <w:p w:rsidR="006F64DA" w:rsidRDefault="006F64DA" w:rsidP="0095192A">
      <w:pPr>
        <w:pStyle w:val="ListParagraph"/>
        <w:numPr>
          <w:ilvl w:val="1"/>
          <w:numId w:val="2"/>
        </w:numPr>
        <w:rPr>
          <w:lang w:val="en-AU"/>
        </w:rPr>
      </w:pPr>
      <w:r>
        <w:rPr>
          <w:lang w:val="en-AU"/>
        </w:rPr>
        <w:t>Modern equipment in traditional lighthouses – guidance</w:t>
      </w:r>
      <w:r w:rsidR="00E35BE7">
        <w:rPr>
          <w:lang w:val="en-AU"/>
        </w:rPr>
        <w:t>.</w:t>
      </w:r>
    </w:p>
    <w:p w:rsidR="006F64DA" w:rsidRDefault="006F64DA" w:rsidP="0095192A">
      <w:pPr>
        <w:pStyle w:val="ListParagraph"/>
        <w:numPr>
          <w:ilvl w:val="1"/>
          <w:numId w:val="2"/>
        </w:numPr>
        <w:rPr>
          <w:lang w:val="en-AU"/>
        </w:rPr>
      </w:pPr>
      <w:r>
        <w:rPr>
          <w:lang w:val="en-AU"/>
        </w:rPr>
        <w:t>Maintenance of LH structures</w:t>
      </w:r>
      <w:r w:rsidR="00E35BE7">
        <w:rPr>
          <w:lang w:val="en-AU"/>
        </w:rPr>
        <w:t>.</w:t>
      </w:r>
    </w:p>
    <w:p w:rsidR="006F64DA" w:rsidRDefault="006F64DA" w:rsidP="0095192A">
      <w:pPr>
        <w:pStyle w:val="ListParagraph"/>
        <w:numPr>
          <w:ilvl w:val="1"/>
          <w:numId w:val="2"/>
        </w:numPr>
        <w:rPr>
          <w:lang w:val="en-AU"/>
        </w:rPr>
      </w:pPr>
      <w:r>
        <w:rPr>
          <w:lang w:val="en-AU"/>
        </w:rPr>
        <w:t>Telemetry review Guideline 1008</w:t>
      </w:r>
      <w:r w:rsidR="00E35BE7">
        <w:rPr>
          <w:lang w:val="en-AU"/>
        </w:rPr>
        <w:t>.</w:t>
      </w:r>
    </w:p>
    <w:p w:rsidR="00C1660F" w:rsidRDefault="00C1660F" w:rsidP="00C1660F">
      <w:pPr>
        <w:pStyle w:val="ListParagraph"/>
        <w:numPr>
          <w:ilvl w:val="0"/>
          <w:numId w:val="2"/>
        </w:numPr>
        <w:rPr>
          <w:lang w:val="en-AU"/>
        </w:rPr>
      </w:pPr>
      <w:r>
        <w:rPr>
          <w:lang w:val="en-AU"/>
        </w:rPr>
        <w:t>Guidance on what constitutes a good Marine AtoN solar panel</w:t>
      </w:r>
      <w:r w:rsidR="00E35BE7">
        <w:rPr>
          <w:lang w:val="en-AU"/>
        </w:rPr>
        <w:t>.</w:t>
      </w:r>
    </w:p>
    <w:p w:rsidR="0095192A" w:rsidRDefault="0095192A" w:rsidP="00C1660F">
      <w:pPr>
        <w:pStyle w:val="ListParagraph"/>
        <w:numPr>
          <w:ilvl w:val="0"/>
          <w:numId w:val="2"/>
        </w:numPr>
        <w:rPr>
          <w:lang w:val="en-AU"/>
        </w:rPr>
      </w:pPr>
      <w:r>
        <w:rPr>
          <w:lang w:val="en-AU"/>
        </w:rPr>
        <w:t>Navguide updates</w:t>
      </w:r>
      <w:r w:rsidR="00E35BE7">
        <w:rPr>
          <w:lang w:val="en-AU"/>
        </w:rPr>
        <w:t>.</w:t>
      </w:r>
    </w:p>
    <w:p w:rsidR="00C1660F" w:rsidRDefault="00C1660F" w:rsidP="00C1660F">
      <w:pPr>
        <w:pStyle w:val="ListParagraph"/>
        <w:numPr>
          <w:ilvl w:val="0"/>
          <w:numId w:val="2"/>
        </w:numPr>
        <w:rPr>
          <w:lang w:val="en-AU"/>
        </w:rPr>
      </w:pPr>
      <w:r>
        <w:rPr>
          <w:lang w:val="en-AU"/>
        </w:rPr>
        <w:t>Colour fading of plastic buoys – methods to measure and assess</w:t>
      </w:r>
      <w:r w:rsidR="00E35BE7">
        <w:rPr>
          <w:lang w:val="en-AU"/>
        </w:rPr>
        <w:t>.</w:t>
      </w:r>
    </w:p>
    <w:p w:rsidR="0061562A" w:rsidRDefault="0061562A" w:rsidP="00C1660F">
      <w:pPr>
        <w:pStyle w:val="ListParagraph"/>
        <w:numPr>
          <w:ilvl w:val="0"/>
          <w:numId w:val="2"/>
        </w:numPr>
        <w:rPr>
          <w:lang w:val="en-AU"/>
        </w:rPr>
      </w:pPr>
      <w:r>
        <w:rPr>
          <w:lang w:val="en-AU"/>
        </w:rPr>
        <w:t>Guidance on checking that 3</w:t>
      </w:r>
      <w:r w:rsidRPr="0061562A">
        <w:rPr>
          <w:vertAlign w:val="superscript"/>
          <w:lang w:val="en-AU"/>
        </w:rPr>
        <w:t>rd</w:t>
      </w:r>
      <w:r>
        <w:rPr>
          <w:lang w:val="en-AU"/>
        </w:rPr>
        <w:t xml:space="preserve"> party AtoN providers are actually providing what they are obliged to provide</w:t>
      </w:r>
      <w:r w:rsidR="00E35BE7">
        <w:rPr>
          <w:lang w:val="en-AU"/>
        </w:rPr>
        <w:t xml:space="preserve"> (possibly ARM cooperation).</w:t>
      </w:r>
    </w:p>
    <w:p w:rsidR="0061562A" w:rsidRDefault="0061562A" w:rsidP="00C1660F">
      <w:pPr>
        <w:pStyle w:val="ListParagraph"/>
        <w:numPr>
          <w:ilvl w:val="0"/>
          <w:numId w:val="2"/>
        </w:numPr>
        <w:rPr>
          <w:lang w:val="en-AU"/>
        </w:rPr>
      </w:pPr>
      <w:r>
        <w:rPr>
          <w:lang w:val="en-AU"/>
        </w:rPr>
        <w:t>Radar reflection properties of plastic buoys – guidance</w:t>
      </w:r>
      <w:r w:rsidR="00E35BE7">
        <w:rPr>
          <w:lang w:val="en-AU"/>
        </w:rPr>
        <w:t>.</w:t>
      </w:r>
    </w:p>
    <w:p w:rsidR="0095192A" w:rsidRDefault="0061562A" w:rsidP="0095192A">
      <w:pPr>
        <w:pStyle w:val="ListParagraph"/>
        <w:numPr>
          <w:ilvl w:val="0"/>
          <w:numId w:val="2"/>
        </w:numPr>
        <w:rPr>
          <w:lang w:val="en-AU"/>
        </w:rPr>
      </w:pPr>
      <w:r>
        <w:rPr>
          <w:lang w:val="en-AU"/>
        </w:rPr>
        <w:t xml:space="preserve">How to package monitoring information on AtoN status such that it can be fed into the </w:t>
      </w:r>
      <w:r w:rsidRPr="008A52B4">
        <w:rPr>
          <w:lang w:val="en-AU"/>
        </w:rPr>
        <w:t>Maritime Cloud as an MSP</w:t>
      </w:r>
      <w:r w:rsidR="00E35BE7">
        <w:rPr>
          <w:lang w:val="en-AU"/>
        </w:rPr>
        <w:t>.</w:t>
      </w:r>
    </w:p>
    <w:p w:rsidR="00255821" w:rsidRDefault="00255821" w:rsidP="0095192A">
      <w:pPr>
        <w:pStyle w:val="ListParagraph"/>
        <w:numPr>
          <w:ilvl w:val="0"/>
          <w:numId w:val="2"/>
        </w:numPr>
        <w:rPr>
          <w:lang w:val="en-AU"/>
        </w:rPr>
      </w:pPr>
      <w:r>
        <w:rPr>
          <w:lang w:val="en-AU"/>
        </w:rPr>
        <w:t xml:space="preserve">Guidance on protection zones in light and </w:t>
      </w:r>
      <w:proofErr w:type="spellStart"/>
      <w:r>
        <w:rPr>
          <w:lang w:val="en-AU"/>
        </w:rPr>
        <w:t>daymark</w:t>
      </w:r>
      <w:proofErr w:type="spellEnd"/>
      <w:r>
        <w:rPr>
          <w:lang w:val="en-AU"/>
        </w:rPr>
        <w:t xml:space="preserve"> sectors and radar/ VTS systems to avoid obstructions due to structures, mooring ships, </w:t>
      </w:r>
      <w:proofErr w:type="spellStart"/>
      <w:r>
        <w:rPr>
          <w:lang w:val="en-AU"/>
        </w:rPr>
        <w:t>etc</w:t>
      </w:r>
      <w:proofErr w:type="spellEnd"/>
      <w:r>
        <w:rPr>
          <w:lang w:val="en-AU"/>
        </w:rPr>
        <w:t xml:space="preserve"> and competing lights (possible ARM cooperation).</w:t>
      </w:r>
    </w:p>
    <w:p w:rsidR="00255821" w:rsidRDefault="00255821" w:rsidP="0095192A">
      <w:pPr>
        <w:pStyle w:val="ListParagraph"/>
        <w:numPr>
          <w:ilvl w:val="0"/>
          <w:numId w:val="2"/>
        </w:numPr>
        <w:rPr>
          <w:lang w:val="en-AU"/>
        </w:rPr>
      </w:pPr>
      <w:r>
        <w:rPr>
          <w:lang w:val="en-AU"/>
        </w:rPr>
        <w:t>Cyber security (in cooperation with ENAV).</w:t>
      </w:r>
    </w:p>
    <w:p w:rsidR="00255821" w:rsidRDefault="00255821" w:rsidP="0095192A">
      <w:pPr>
        <w:pStyle w:val="ListParagraph"/>
        <w:numPr>
          <w:ilvl w:val="0"/>
          <w:numId w:val="2"/>
        </w:numPr>
        <w:rPr>
          <w:lang w:val="en-AU"/>
        </w:rPr>
      </w:pPr>
      <w:r>
        <w:rPr>
          <w:lang w:val="en-AU"/>
        </w:rPr>
        <w:t>Joint ENG/ARM meeting or workshop?</w:t>
      </w:r>
    </w:p>
    <w:p w:rsidR="00255821" w:rsidRPr="008A52B4" w:rsidRDefault="00255821" w:rsidP="0095192A">
      <w:pPr>
        <w:pStyle w:val="ListParagraph"/>
        <w:numPr>
          <w:ilvl w:val="0"/>
          <w:numId w:val="2"/>
        </w:numPr>
        <w:rPr>
          <w:lang w:val="en-AU"/>
        </w:rPr>
      </w:pPr>
      <w:r>
        <w:rPr>
          <w:lang w:val="en-AU"/>
        </w:rPr>
        <w:t>Future AtoN services required 10 year forward (in cooperation with ARM and ENAV).</w:t>
      </w:r>
    </w:p>
    <w:p w:rsidR="008A52B4" w:rsidRPr="00255821" w:rsidRDefault="005F67E9" w:rsidP="006A4D70">
      <w:pPr>
        <w:pStyle w:val="ListParagraph"/>
        <w:numPr>
          <w:ilvl w:val="0"/>
          <w:numId w:val="2"/>
        </w:numPr>
        <w:jc w:val="both"/>
        <w:rPr>
          <w:rFonts w:ascii="Arial" w:eastAsia="Times New Roman" w:hAnsi="Arial" w:cs="Arial"/>
          <w:b/>
          <w:szCs w:val="24"/>
          <w:lang w:val="en-GB"/>
        </w:rPr>
      </w:pPr>
      <w:r w:rsidRPr="008A52B4">
        <w:rPr>
          <w:rFonts w:ascii="Arial" w:eastAsia="Times New Roman" w:hAnsi="Arial" w:cs="Arial"/>
          <w:szCs w:val="24"/>
          <w:lang w:val="en-GB"/>
        </w:rPr>
        <w:t>During the review of “Task 2.1.1 Develop further guidance on plastic buoys, systems &amp; sensors” it was considered to propose a new structure for buoy related guidelines.</w:t>
      </w:r>
    </w:p>
    <w:p w:rsidR="00255821" w:rsidRPr="00255821" w:rsidRDefault="00255821" w:rsidP="00255821">
      <w:pPr>
        <w:ind w:left="360"/>
        <w:jc w:val="both"/>
        <w:rPr>
          <w:rFonts w:ascii="Arial" w:eastAsia="Times New Roman" w:hAnsi="Arial" w:cs="Arial"/>
          <w:b/>
          <w:szCs w:val="24"/>
          <w:lang w:val="en-GB"/>
        </w:rPr>
      </w:pPr>
    </w:p>
    <w:p w:rsidR="008A52B4" w:rsidRDefault="008A52B4" w:rsidP="005F67E9">
      <w:pPr>
        <w:spacing w:after="0" w:line="240" w:lineRule="auto"/>
        <w:jc w:val="both"/>
        <w:rPr>
          <w:rFonts w:ascii="Arial" w:eastAsia="Times New Roman" w:hAnsi="Arial" w:cs="Arial"/>
          <w:szCs w:val="24"/>
          <w:lang w:val="en-GB"/>
        </w:rPr>
      </w:pPr>
    </w:p>
    <w:p w:rsidR="0061562A" w:rsidRDefault="005F67E9" w:rsidP="005F67E9">
      <w:pPr>
        <w:spacing w:after="0" w:line="240" w:lineRule="auto"/>
        <w:jc w:val="both"/>
        <w:rPr>
          <w:rFonts w:ascii="Arial" w:eastAsia="Times New Roman" w:hAnsi="Arial" w:cs="Arial"/>
          <w:szCs w:val="24"/>
          <w:lang w:val="en-GB"/>
        </w:rPr>
      </w:pPr>
      <w:r>
        <w:rPr>
          <w:rFonts w:ascii="Arial" w:eastAsia="Times New Roman" w:hAnsi="Arial" w:cs="Arial"/>
          <w:szCs w:val="24"/>
          <w:lang w:val="en-GB"/>
        </w:rPr>
        <w:t>An overview drawing was created:</w:t>
      </w:r>
    </w:p>
    <w:p w:rsidR="008A52B4" w:rsidRDefault="008A52B4" w:rsidP="005F67E9">
      <w:pPr>
        <w:spacing w:after="0" w:line="240" w:lineRule="auto"/>
        <w:jc w:val="both"/>
        <w:rPr>
          <w:rFonts w:ascii="Arial" w:eastAsia="Times New Roman" w:hAnsi="Arial" w:cs="Arial"/>
          <w:szCs w:val="24"/>
          <w:lang w:val="en-GB"/>
        </w:rPr>
      </w:pPr>
    </w:p>
    <w:p w:rsidR="005F67E9" w:rsidRPr="005F67E9" w:rsidRDefault="005F67E9" w:rsidP="005F67E9">
      <w:pPr>
        <w:spacing w:after="0" w:line="240" w:lineRule="auto"/>
        <w:jc w:val="both"/>
        <w:rPr>
          <w:rFonts w:ascii="Arial" w:eastAsia="Times New Roman" w:hAnsi="Arial" w:cs="Arial"/>
          <w:szCs w:val="24"/>
          <w:lang w:val="en-GB"/>
        </w:rPr>
      </w:pPr>
      <w:r>
        <w:rPr>
          <w:noProof/>
          <w:lang w:val="en-IE" w:eastAsia="en-IE"/>
        </w:rPr>
        <w:lastRenderedPageBreak/>
        <w:drawing>
          <wp:inline distT="0" distB="0" distL="0" distR="0" wp14:anchorId="49600757" wp14:editId="04065FD6">
            <wp:extent cx="5731510" cy="2921364"/>
            <wp:effectExtent l="0" t="0" r="2540" b="0"/>
            <wp:docPr id="4" name="Bild 4" descr="C:\Users\Peter\AppData\Local\Microsoft\Windows\Temporary Internet Files\Content.Word\Neues Bild (6)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Peter\AppData\Local\Microsoft\Windows\Temporary Internet Files\Content.Word\Neues Bild (6).bmp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9213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660F" w:rsidRDefault="00C1660F"/>
    <w:sectPr w:rsidR="00C1660F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2A08" w:rsidRDefault="00182A08" w:rsidP="008A52B4">
      <w:pPr>
        <w:spacing w:after="0" w:line="240" w:lineRule="auto"/>
      </w:pPr>
      <w:r>
        <w:separator/>
      </w:r>
    </w:p>
  </w:endnote>
  <w:endnote w:type="continuationSeparator" w:id="0">
    <w:p w:rsidR="00182A08" w:rsidRDefault="00182A08" w:rsidP="008A5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2A08" w:rsidRDefault="00182A08" w:rsidP="008A52B4">
      <w:pPr>
        <w:spacing w:after="0" w:line="240" w:lineRule="auto"/>
      </w:pPr>
      <w:r>
        <w:separator/>
      </w:r>
    </w:p>
  </w:footnote>
  <w:footnote w:type="continuationSeparator" w:id="0">
    <w:p w:rsidR="00182A08" w:rsidRDefault="00182A08" w:rsidP="008A52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6AC4" w:rsidRDefault="00996AC4" w:rsidP="008A52B4">
    <w:pPr>
      <w:pStyle w:val="Header"/>
      <w:jc w:val="right"/>
    </w:pPr>
    <w:r>
      <w:t>ENG7-7.3</w:t>
    </w:r>
  </w:p>
  <w:p w:rsidR="008A52B4" w:rsidRDefault="008A52B4" w:rsidP="008A52B4">
    <w:pPr>
      <w:pStyle w:val="Header"/>
      <w:jc w:val="right"/>
    </w:pPr>
    <w:r>
      <w:rPr>
        <w:noProof/>
        <w:lang w:val="en-IE" w:eastAsia="en-IE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2257623</wp:posOffset>
          </wp:positionH>
          <wp:positionV relativeFrom="paragraph">
            <wp:posOffset>-406857</wp:posOffset>
          </wp:positionV>
          <wp:extent cx="937895" cy="9144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7895" cy="914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96AC4">
      <w:t xml:space="preserve">Formerly </w:t>
    </w:r>
    <w:r>
      <w:t>ENG6-11.2.20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C03DA3"/>
    <w:multiLevelType w:val="hybridMultilevel"/>
    <w:tmpl w:val="A8E264E0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9947314"/>
    <w:multiLevelType w:val="hybridMultilevel"/>
    <w:tmpl w:val="2262749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F10DA0"/>
    <w:multiLevelType w:val="hybridMultilevel"/>
    <w:tmpl w:val="847E4D44"/>
    <w:lvl w:ilvl="0" w:tplc="99CCB1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173"/>
    <w:rsid w:val="000411BE"/>
    <w:rsid w:val="00135098"/>
    <w:rsid w:val="00182A08"/>
    <w:rsid w:val="00234173"/>
    <w:rsid w:val="00255821"/>
    <w:rsid w:val="002A4696"/>
    <w:rsid w:val="003B531A"/>
    <w:rsid w:val="005F67E9"/>
    <w:rsid w:val="0061562A"/>
    <w:rsid w:val="006F64DA"/>
    <w:rsid w:val="00882BA5"/>
    <w:rsid w:val="008A52B4"/>
    <w:rsid w:val="0095192A"/>
    <w:rsid w:val="00996AC4"/>
    <w:rsid w:val="00C1660F"/>
    <w:rsid w:val="00E118BC"/>
    <w:rsid w:val="00E35BE7"/>
    <w:rsid w:val="00F11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8C12219-80DF-498F-A582-E0734FD08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A469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660F"/>
    <w:pPr>
      <w:spacing w:after="0" w:line="240" w:lineRule="auto"/>
      <w:ind w:left="720"/>
    </w:pPr>
    <w:rPr>
      <w:rFonts w:ascii="Calibri" w:hAnsi="Calibri" w:cs="Calibri"/>
    </w:rPr>
  </w:style>
  <w:style w:type="character" w:customStyle="1" w:styleId="Heading2Char">
    <w:name w:val="Heading 2 Char"/>
    <w:basedOn w:val="DefaultParagraphFont"/>
    <w:link w:val="Heading2"/>
    <w:uiPriority w:val="9"/>
    <w:rsid w:val="002A469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8A52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52B4"/>
  </w:style>
  <w:style w:type="paragraph" w:styleId="Footer">
    <w:name w:val="footer"/>
    <w:basedOn w:val="Normal"/>
    <w:link w:val="FooterChar"/>
    <w:uiPriority w:val="99"/>
    <w:unhideWhenUsed/>
    <w:rsid w:val="008A52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52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445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House</Company>
  <LinksUpToDate>false</LinksUpToDate>
  <CharactersWithSpaces>2090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Millyard</dc:creator>
  <cp:keywords/>
  <dc:description/>
  <cp:lastModifiedBy>Seamus Doyle</cp:lastModifiedBy>
  <cp:revision>5</cp:revision>
  <dcterms:created xsi:type="dcterms:W3CDTF">2017-03-31T08:01:00Z</dcterms:created>
  <dcterms:modified xsi:type="dcterms:W3CDTF">2017-06-09T16:26:00Z</dcterms:modified>
</cp:coreProperties>
</file>